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EE6" w:rsidRPr="00BF02AC" w:rsidRDefault="002F0EE6" w:rsidP="00BF02AC">
      <w:pPr>
        <w:spacing w:line="480" w:lineRule="auto"/>
        <w:jc w:val="center"/>
        <w:rPr>
          <w:rFonts w:ascii="Times New Roman" w:hAnsi="Times New Roman" w:cs="Times New Roman"/>
          <w:b/>
          <w:sz w:val="24"/>
          <w:szCs w:val="24"/>
        </w:rPr>
      </w:pPr>
    </w:p>
    <w:p w:rsidR="002F0EE6" w:rsidRPr="00BF02AC" w:rsidRDefault="002F0EE6" w:rsidP="00BF02AC">
      <w:pPr>
        <w:spacing w:line="480" w:lineRule="auto"/>
        <w:jc w:val="center"/>
        <w:rPr>
          <w:rFonts w:ascii="Times New Roman" w:hAnsi="Times New Roman" w:cs="Times New Roman"/>
          <w:b/>
          <w:sz w:val="24"/>
          <w:szCs w:val="24"/>
        </w:rPr>
      </w:pPr>
    </w:p>
    <w:p w:rsidR="002F0EE6" w:rsidRPr="00BF02AC" w:rsidRDefault="002F0EE6" w:rsidP="00BF02AC">
      <w:pPr>
        <w:spacing w:line="480" w:lineRule="auto"/>
        <w:jc w:val="center"/>
        <w:rPr>
          <w:rFonts w:ascii="Times New Roman" w:hAnsi="Times New Roman" w:cs="Times New Roman"/>
          <w:b/>
          <w:sz w:val="24"/>
          <w:szCs w:val="24"/>
        </w:rPr>
      </w:pPr>
    </w:p>
    <w:p w:rsidR="002F0EE6" w:rsidRPr="00BF02AC" w:rsidRDefault="002F0EE6" w:rsidP="00BF02AC">
      <w:pPr>
        <w:pStyle w:val="NormalWeb"/>
        <w:spacing w:before="0" w:beforeAutospacing="0" w:after="0" w:afterAutospacing="0" w:line="480" w:lineRule="auto"/>
        <w:rPr>
          <w:color w:val="0E101A"/>
        </w:rPr>
      </w:pPr>
    </w:p>
    <w:p w:rsidR="002F0EE6" w:rsidRPr="00BF02AC" w:rsidRDefault="002F0EE6" w:rsidP="00BF02AC">
      <w:pPr>
        <w:pStyle w:val="NormalWeb"/>
        <w:spacing w:before="0" w:beforeAutospacing="0" w:after="0" w:afterAutospacing="0" w:line="480" w:lineRule="auto"/>
        <w:rPr>
          <w:rStyle w:val="Strong"/>
          <w:color w:val="0E101A"/>
        </w:rPr>
      </w:pPr>
    </w:p>
    <w:p w:rsidR="002F0EE6" w:rsidRPr="00BF02AC" w:rsidRDefault="002F0EE6" w:rsidP="00BF02AC">
      <w:pPr>
        <w:pStyle w:val="NormalWeb"/>
        <w:spacing w:before="0" w:beforeAutospacing="0" w:after="0" w:afterAutospacing="0" w:line="480" w:lineRule="auto"/>
        <w:jc w:val="center"/>
        <w:rPr>
          <w:rStyle w:val="Strong"/>
          <w:color w:val="0E101A"/>
        </w:rPr>
      </w:pPr>
    </w:p>
    <w:p w:rsidR="002F0EE6" w:rsidRPr="00BF02AC" w:rsidRDefault="002F0EE6" w:rsidP="00BF02AC">
      <w:pPr>
        <w:spacing w:line="480" w:lineRule="auto"/>
        <w:rPr>
          <w:rFonts w:ascii="Times New Roman" w:hAnsi="Times New Roman" w:cs="Times New Roman"/>
          <w:b/>
          <w:sz w:val="24"/>
          <w:szCs w:val="24"/>
        </w:rPr>
      </w:pPr>
    </w:p>
    <w:p w:rsidR="002F0EE6" w:rsidRPr="00BF02AC" w:rsidRDefault="002F0EE6" w:rsidP="00BF02AC">
      <w:pPr>
        <w:spacing w:line="480" w:lineRule="auto"/>
        <w:jc w:val="center"/>
        <w:rPr>
          <w:rFonts w:ascii="Times New Roman" w:hAnsi="Times New Roman" w:cs="Times New Roman"/>
          <w:b/>
          <w:sz w:val="24"/>
          <w:szCs w:val="24"/>
        </w:rPr>
      </w:pPr>
      <w:r w:rsidRPr="00BF02AC">
        <w:rPr>
          <w:rFonts w:ascii="Times New Roman" w:hAnsi="Times New Roman" w:cs="Times New Roman"/>
          <w:b/>
          <w:sz w:val="24"/>
          <w:szCs w:val="24"/>
        </w:rPr>
        <w:t>Management of Banking Institutions</w:t>
      </w:r>
    </w:p>
    <w:p w:rsidR="002F0EE6" w:rsidRPr="00BF02AC" w:rsidRDefault="002F0EE6" w:rsidP="00BF02AC">
      <w:pPr>
        <w:pStyle w:val="NormalWeb"/>
        <w:spacing w:before="0" w:beforeAutospacing="0" w:after="0" w:afterAutospacing="0" w:line="480" w:lineRule="auto"/>
        <w:jc w:val="center"/>
        <w:rPr>
          <w:color w:val="0E101A"/>
        </w:rPr>
      </w:pPr>
      <w:r w:rsidRPr="00BF02AC">
        <w:rPr>
          <w:color w:val="0E101A"/>
        </w:rPr>
        <w:t>Name</w:t>
      </w:r>
    </w:p>
    <w:p w:rsidR="002F0EE6" w:rsidRPr="00BF02AC" w:rsidRDefault="002F0EE6" w:rsidP="00BF02AC">
      <w:pPr>
        <w:pStyle w:val="NormalWeb"/>
        <w:spacing w:before="0" w:beforeAutospacing="0" w:after="0" w:afterAutospacing="0" w:line="480" w:lineRule="auto"/>
        <w:jc w:val="center"/>
        <w:rPr>
          <w:color w:val="0E101A"/>
        </w:rPr>
      </w:pPr>
      <w:r w:rsidRPr="00BF02AC">
        <w:rPr>
          <w:color w:val="0E101A"/>
        </w:rPr>
        <w:t>Institution</w:t>
      </w:r>
    </w:p>
    <w:p w:rsidR="002F0EE6" w:rsidRPr="00BF02AC" w:rsidRDefault="002F0EE6" w:rsidP="00BF02AC">
      <w:pPr>
        <w:pStyle w:val="NormalWeb"/>
        <w:spacing w:before="0" w:beforeAutospacing="0" w:after="0" w:afterAutospacing="0" w:line="480" w:lineRule="auto"/>
        <w:jc w:val="center"/>
        <w:rPr>
          <w:color w:val="0E101A"/>
        </w:rPr>
      </w:pPr>
      <w:r w:rsidRPr="00BF02AC">
        <w:rPr>
          <w:color w:val="0E101A"/>
        </w:rPr>
        <w:t>Date</w:t>
      </w:r>
    </w:p>
    <w:p w:rsidR="002F0EE6" w:rsidRPr="00BF02AC" w:rsidRDefault="002F0EE6" w:rsidP="00BF02AC">
      <w:pPr>
        <w:pStyle w:val="NormalWeb"/>
        <w:spacing w:before="0" w:beforeAutospacing="0" w:after="0" w:afterAutospacing="0" w:line="480" w:lineRule="auto"/>
        <w:rPr>
          <w:color w:val="0E101A"/>
        </w:rPr>
      </w:pPr>
    </w:p>
    <w:p w:rsidR="002F0EE6" w:rsidRPr="00BF02AC" w:rsidRDefault="002F0EE6" w:rsidP="00BF02AC">
      <w:pPr>
        <w:pStyle w:val="NormalWeb"/>
        <w:spacing w:before="0" w:beforeAutospacing="0" w:after="0" w:afterAutospacing="0" w:line="480" w:lineRule="auto"/>
        <w:rPr>
          <w:color w:val="0E101A"/>
        </w:rPr>
      </w:pPr>
    </w:p>
    <w:p w:rsidR="002F0EE6" w:rsidRPr="00BF02AC" w:rsidRDefault="002F0EE6" w:rsidP="00BF02AC">
      <w:pPr>
        <w:pStyle w:val="NormalWeb"/>
        <w:spacing w:before="0" w:beforeAutospacing="0" w:after="0" w:afterAutospacing="0" w:line="480" w:lineRule="auto"/>
        <w:rPr>
          <w:color w:val="0E101A"/>
        </w:rPr>
      </w:pPr>
    </w:p>
    <w:p w:rsidR="002F0EE6" w:rsidRPr="00BF02AC" w:rsidRDefault="002F0EE6" w:rsidP="00BF02AC">
      <w:pPr>
        <w:pStyle w:val="NormalWeb"/>
        <w:spacing w:before="0" w:beforeAutospacing="0" w:after="0" w:afterAutospacing="0" w:line="480" w:lineRule="auto"/>
        <w:rPr>
          <w:color w:val="0E101A"/>
        </w:rPr>
      </w:pPr>
    </w:p>
    <w:p w:rsidR="002F0EE6" w:rsidRPr="00BF02AC" w:rsidRDefault="002F0EE6" w:rsidP="00BF02AC">
      <w:pPr>
        <w:pStyle w:val="NormalWeb"/>
        <w:spacing w:before="0" w:beforeAutospacing="0" w:after="0" w:afterAutospacing="0" w:line="480" w:lineRule="auto"/>
        <w:rPr>
          <w:color w:val="0E101A"/>
        </w:rPr>
      </w:pPr>
    </w:p>
    <w:p w:rsidR="002F0EE6" w:rsidRPr="00BF02AC" w:rsidRDefault="002F0EE6" w:rsidP="00BF02AC">
      <w:pPr>
        <w:pStyle w:val="NormalWeb"/>
        <w:spacing w:before="0" w:beforeAutospacing="0" w:after="0" w:afterAutospacing="0" w:line="480" w:lineRule="auto"/>
        <w:rPr>
          <w:color w:val="0E101A"/>
        </w:rPr>
      </w:pPr>
    </w:p>
    <w:p w:rsidR="002F0EE6" w:rsidRPr="00BF02AC" w:rsidRDefault="002F0EE6" w:rsidP="00BF02AC">
      <w:pPr>
        <w:pStyle w:val="NormalWeb"/>
        <w:spacing w:before="0" w:beforeAutospacing="0" w:after="0" w:afterAutospacing="0" w:line="480" w:lineRule="auto"/>
        <w:rPr>
          <w:color w:val="0E101A"/>
        </w:rPr>
      </w:pPr>
    </w:p>
    <w:p w:rsidR="002F0EE6" w:rsidRPr="00BF02AC" w:rsidRDefault="002F0EE6" w:rsidP="00BF02AC">
      <w:pPr>
        <w:spacing w:line="480" w:lineRule="auto"/>
        <w:jc w:val="center"/>
        <w:rPr>
          <w:rFonts w:ascii="Times New Roman" w:hAnsi="Times New Roman" w:cs="Times New Roman"/>
          <w:b/>
          <w:sz w:val="24"/>
          <w:szCs w:val="24"/>
        </w:rPr>
      </w:pPr>
    </w:p>
    <w:p w:rsidR="002F0EE6" w:rsidRPr="00BF02AC" w:rsidRDefault="002F0EE6" w:rsidP="00BF02AC">
      <w:pPr>
        <w:spacing w:line="480" w:lineRule="auto"/>
        <w:rPr>
          <w:rFonts w:ascii="Times New Roman" w:hAnsi="Times New Roman" w:cs="Times New Roman"/>
          <w:b/>
          <w:sz w:val="24"/>
          <w:szCs w:val="24"/>
        </w:rPr>
      </w:pPr>
    </w:p>
    <w:p w:rsidR="002F0EE6" w:rsidRPr="00BF02AC" w:rsidRDefault="002F0EE6" w:rsidP="00BF02AC">
      <w:pPr>
        <w:spacing w:line="480" w:lineRule="auto"/>
        <w:jc w:val="center"/>
        <w:rPr>
          <w:rFonts w:ascii="Times New Roman" w:hAnsi="Times New Roman" w:cs="Times New Roman"/>
          <w:b/>
          <w:sz w:val="24"/>
          <w:szCs w:val="24"/>
        </w:rPr>
      </w:pPr>
    </w:p>
    <w:p w:rsidR="00A24DFE" w:rsidRPr="00BF02AC" w:rsidRDefault="00A24DFE" w:rsidP="00BF02AC">
      <w:pPr>
        <w:spacing w:line="480" w:lineRule="auto"/>
        <w:jc w:val="center"/>
        <w:rPr>
          <w:rFonts w:ascii="Times New Roman" w:hAnsi="Times New Roman" w:cs="Times New Roman"/>
          <w:b/>
          <w:sz w:val="24"/>
          <w:szCs w:val="24"/>
        </w:rPr>
      </w:pPr>
      <w:r w:rsidRPr="00BF02AC">
        <w:rPr>
          <w:rFonts w:ascii="Times New Roman" w:hAnsi="Times New Roman" w:cs="Times New Roman"/>
          <w:b/>
          <w:sz w:val="24"/>
          <w:szCs w:val="24"/>
        </w:rPr>
        <w:lastRenderedPageBreak/>
        <w:t>Management of Banking Institutions</w:t>
      </w:r>
    </w:p>
    <w:p w:rsidR="00BF02AC" w:rsidRPr="00BF02AC" w:rsidRDefault="00BF02AC" w:rsidP="00BF02AC">
      <w:pPr>
        <w:spacing w:line="480" w:lineRule="auto"/>
        <w:jc w:val="center"/>
        <w:rPr>
          <w:rFonts w:ascii="Times New Roman" w:hAnsi="Times New Roman" w:cs="Times New Roman"/>
          <w:b/>
          <w:sz w:val="24"/>
          <w:szCs w:val="24"/>
        </w:rPr>
      </w:pPr>
      <w:r w:rsidRPr="00BF02AC">
        <w:rPr>
          <w:rFonts w:ascii="Times New Roman" w:hAnsi="Times New Roman" w:cs="Times New Roman"/>
          <w:b/>
          <w:sz w:val="24"/>
          <w:szCs w:val="24"/>
        </w:rPr>
        <w:t>Question One</w:t>
      </w:r>
    </w:p>
    <w:p w:rsidR="00A24DFE" w:rsidRPr="00BF02AC" w:rsidRDefault="00A24DFE" w:rsidP="00BF02AC">
      <w:pPr>
        <w:spacing w:line="480" w:lineRule="auto"/>
        <w:ind w:firstLine="720"/>
        <w:rPr>
          <w:rFonts w:ascii="Times New Roman" w:hAnsi="Times New Roman" w:cs="Times New Roman"/>
          <w:sz w:val="24"/>
          <w:szCs w:val="24"/>
        </w:rPr>
      </w:pPr>
      <w:r w:rsidRPr="00BF02AC">
        <w:rPr>
          <w:rFonts w:ascii="Times New Roman" w:hAnsi="Times New Roman" w:cs="Times New Roman"/>
          <w:sz w:val="24"/>
          <w:szCs w:val="24"/>
        </w:rPr>
        <w:t>Varo Money is an online financial –technology firm</w:t>
      </w:r>
      <w:r w:rsidR="002C5AAF">
        <w:rPr>
          <w:rFonts w:ascii="Times New Roman" w:hAnsi="Times New Roman" w:cs="Times New Roman"/>
          <w:sz w:val="24"/>
          <w:szCs w:val="24"/>
        </w:rPr>
        <w:t>s</w:t>
      </w:r>
      <w:r w:rsidRPr="00BF02AC">
        <w:rPr>
          <w:rFonts w:ascii="Times New Roman" w:hAnsi="Times New Roman" w:cs="Times New Roman"/>
          <w:sz w:val="24"/>
          <w:szCs w:val="24"/>
        </w:rPr>
        <w:t xml:space="preserve"> that has checking and savings account services as part of their banking. Varo is the first fintech company to be granted the national charter from the Office of the Com</w:t>
      </w:r>
      <w:r w:rsidR="00556FD4" w:rsidRPr="00BF02AC">
        <w:rPr>
          <w:rFonts w:ascii="Times New Roman" w:hAnsi="Times New Roman" w:cs="Times New Roman"/>
          <w:sz w:val="24"/>
          <w:szCs w:val="24"/>
        </w:rPr>
        <w:t>ptroller of the Currency (McCaffrey, 2020).</w:t>
      </w:r>
      <w:r w:rsidRPr="00BF02AC">
        <w:rPr>
          <w:rFonts w:ascii="Times New Roman" w:hAnsi="Times New Roman" w:cs="Times New Roman"/>
          <w:sz w:val="24"/>
          <w:szCs w:val="24"/>
        </w:rPr>
        <w:t>Most fintech companies don't apply for their own bank charter, but they seek to partner with banks to be able to provide banking services smoothly. They are the first fintech firm</w:t>
      </w:r>
      <w:r w:rsidR="002C5AAF">
        <w:rPr>
          <w:rFonts w:ascii="Times New Roman" w:hAnsi="Times New Roman" w:cs="Times New Roman"/>
          <w:sz w:val="24"/>
          <w:szCs w:val="24"/>
        </w:rPr>
        <w:t>s</w:t>
      </w:r>
      <w:r w:rsidRPr="00BF02AC">
        <w:rPr>
          <w:rFonts w:ascii="Times New Roman" w:hAnsi="Times New Roman" w:cs="Times New Roman"/>
          <w:sz w:val="24"/>
          <w:szCs w:val="24"/>
        </w:rPr>
        <w:t xml:space="preserve"> to be cleared to become a bank on their own without some partnership. Banking is a service offered by a bank. Varo Money is involved in banking by providing the optional Varo saving account service. It is an interest-bearing savings account. The savings account is available for holders of the Varo money account. Varo Money is involved in the business lines deposits, savings, and loans. Currently, Varo money offers deposits accounts services where customers can deposit and withdraw money. Additionally, they also provide new saving accounts with high interest, credit cards, and they are also involved in giving out personal loans. They also seek to have new saving p</w:t>
      </w:r>
      <w:r w:rsidR="00FB2FED" w:rsidRPr="00BF02AC">
        <w:rPr>
          <w:rFonts w:ascii="Times New Roman" w:hAnsi="Times New Roman" w:cs="Times New Roman"/>
          <w:sz w:val="24"/>
          <w:szCs w:val="24"/>
        </w:rPr>
        <w:t>roducts in their business lines (McCaffrey, 2020).</w:t>
      </w:r>
    </w:p>
    <w:p w:rsidR="00BF02AC" w:rsidRPr="00BF02AC" w:rsidRDefault="00BF02AC" w:rsidP="00BF02AC">
      <w:pPr>
        <w:spacing w:line="480" w:lineRule="auto"/>
        <w:ind w:firstLine="720"/>
        <w:jc w:val="center"/>
        <w:rPr>
          <w:rFonts w:ascii="Times New Roman" w:hAnsi="Times New Roman" w:cs="Times New Roman"/>
          <w:b/>
          <w:sz w:val="24"/>
          <w:szCs w:val="24"/>
        </w:rPr>
      </w:pPr>
      <w:r w:rsidRPr="00BF02AC">
        <w:rPr>
          <w:rFonts w:ascii="Times New Roman" w:hAnsi="Times New Roman" w:cs="Times New Roman"/>
          <w:b/>
          <w:sz w:val="24"/>
          <w:szCs w:val="24"/>
        </w:rPr>
        <w:t>Question Two</w:t>
      </w:r>
    </w:p>
    <w:p w:rsidR="00A24DFE" w:rsidRPr="00BF02AC" w:rsidRDefault="00A24DFE" w:rsidP="00BF02AC">
      <w:pPr>
        <w:spacing w:line="480" w:lineRule="auto"/>
        <w:ind w:firstLine="720"/>
        <w:rPr>
          <w:rFonts w:ascii="Times New Roman" w:hAnsi="Times New Roman" w:cs="Times New Roman"/>
          <w:sz w:val="24"/>
          <w:szCs w:val="24"/>
        </w:rPr>
      </w:pPr>
      <w:r w:rsidRPr="00BF02AC">
        <w:rPr>
          <w:rFonts w:ascii="Times New Roman" w:hAnsi="Times New Roman" w:cs="Times New Roman"/>
          <w:sz w:val="24"/>
          <w:szCs w:val="24"/>
        </w:rPr>
        <w:t>Varo money gets the comptroller's office's approval before they are granted a national charter of operation for their own bank. Apart from the partnership with The Bancorp Bank to ensure a smooth transition, Varo money also uses federa</w:t>
      </w:r>
      <w:r w:rsidR="00265433" w:rsidRPr="00BF02AC">
        <w:rPr>
          <w:rFonts w:ascii="Times New Roman" w:hAnsi="Times New Roman" w:cs="Times New Roman"/>
          <w:sz w:val="24"/>
          <w:szCs w:val="24"/>
        </w:rPr>
        <w:t xml:space="preserve">l deposit insurance. Before </w:t>
      </w:r>
      <w:r w:rsidRPr="00BF02AC">
        <w:rPr>
          <w:rFonts w:ascii="Times New Roman" w:hAnsi="Times New Roman" w:cs="Times New Roman"/>
          <w:sz w:val="24"/>
          <w:szCs w:val="24"/>
        </w:rPr>
        <w:t>Varo money is granted the charter, they first seek the national deposit insurance approval. They usually insure deposits in most US banks in case</w:t>
      </w:r>
      <w:r w:rsidR="00265433" w:rsidRPr="00BF02AC">
        <w:rPr>
          <w:rFonts w:ascii="Times New Roman" w:hAnsi="Times New Roman" w:cs="Times New Roman"/>
          <w:sz w:val="24"/>
          <w:szCs w:val="24"/>
        </w:rPr>
        <w:t xml:space="preserve"> of</w:t>
      </w:r>
      <w:r w:rsidRPr="00BF02AC">
        <w:rPr>
          <w:rFonts w:ascii="Times New Roman" w:hAnsi="Times New Roman" w:cs="Times New Roman"/>
          <w:sz w:val="24"/>
          <w:szCs w:val="24"/>
        </w:rPr>
        <w:t xml:space="preserve"> bank institution failures, and they are at times involved in the regulation of certain banking. Mainly Varo money uses federal deposit insurance to ensure </w:t>
      </w:r>
      <w:r w:rsidRPr="00BF02AC">
        <w:rPr>
          <w:rFonts w:ascii="Times New Roman" w:hAnsi="Times New Roman" w:cs="Times New Roman"/>
          <w:sz w:val="24"/>
          <w:szCs w:val="24"/>
        </w:rPr>
        <w:lastRenderedPageBreak/>
        <w:t>they are stable and win public confidence. Therefore any chance of failure of the bank i</w:t>
      </w:r>
      <w:r w:rsidR="00AE7550" w:rsidRPr="00BF02AC">
        <w:rPr>
          <w:rFonts w:ascii="Times New Roman" w:hAnsi="Times New Roman" w:cs="Times New Roman"/>
          <w:sz w:val="24"/>
          <w:szCs w:val="24"/>
        </w:rPr>
        <w:t>s safeguarded (Clozel, 2018).</w:t>
      </w:r>
    </w:p>
    <w:p w:rsidR="00BF02AC" w:rsidRPr="00BF02AC" w:rsidRDefault="00BF02AC" w:rsidP="00BF02AC">
      <w:pPr>
        <w:spacing w:line="480" w:lineRule="auto"/>
        <w:ind w:firstLine="720"/>
        <w:jc w:val="center"/>
        <w:rPr>
          <w:rFonts w:ascii="Times New Roman" w:hAnsi="Times New Roman" w:cs="Times New Roman"/>
          <w:b/>
          <w:sz w:val="24"/>
          <w:szCs w:val="24"/>
        </w:rPr>
      </w:pPr>
      <w:r w:rsidRPr="00BF02AC">
        <w:rPr>
          <w:rFonts w:ascii="Times New Roman" w:hAnsi="Times New Roman" w:cs="Times New Roman"/>
          <w:b/>
          <w:sz w:val="24"/>
          <w:szCs w:val="24"/>
        </w:rPr>
        <w:t>Question Three</w:t>
      </w:r>
    </w:p>
    <w:p w:rsidR="00A24DFE" w:rsidRPr="00BF02AC" w:rsidRDefault="00A24DFE" w:rsidP="00BF02AC">
      <w:pPr>
        <w:spacing w:line="480" w:lineRule="auto"/>
        <w:ind w:firstLine="720"/>
        <w:rPr>
          <w:rFonts w:ascii="Times New Roman" w:hAnsi="Times New Roman" w:cs="Times New Roman"/>
          <w:sz w:val="24"/>
          <w:szCs w:val="24"/>
        </w:rPr>
      </w:pPr>
      <w:r w:rsidRPr="00BF02AC">
        <w:rPr>
          <w:rFonts w:ascii="Times New Roman" w:hAnsi="Times New Roman" w:cs="Times New Roman"/>
          <w:sz w:val="24"/>
          <w:szCs w:val="24"/>
        </w:rPr>
        <w:t>Social finance Inc. also comes out and files an application with regulatory authorities seeking a banklike charter. They seek to incorporate their company as a banking institution with specified rights. If granted with the alliance, then the fintech firm is able to make loans and safeguard deposits across the institutions. However, the states are against the issuance of National</w:t>
      </w:r>
      <w:r w:rsidR="00FB2FED" w:rsidRPr="00BF02AC">
        <w:rPr>
          <w:rFonts w:ascii="Times New Roman" w:hAnsi="Times New Roman" w:cs="Times New Roman"/>
          <w:sz w:val="24"/>
          <w:szCs w:val="24"/>
        </w:rPr>
        <w:t xml:space="preserve"> Bank charters to fintech firms (McCaffrey, 2020).</w:t>
      </w:r>
      <w:r w:rsidRPr="00BF02AC">
        <w:rPr>
          <w:rFonts w:ascii="Times New Roman" w:hAnsi="Times New Roman" w:cs="Times New Roman"/>
          <w:sz w:val="24"/>
          <w:szCs w:val="24"/>
        </w:rPr>
        <w:t xml:space="preserve"> I think they oppose the charters because they believe this will harm the financial system. Additionally, they may consider chartering the fintech by the comptroller's office directly grants them unfair advantages without considering the banks licensed by the states.</w:t>
      </w:r>
    </w:p>
    <w:p w:rsidR="00BF02AC" w:rsidRPr="00BF02AC" w:rsidRDefault="00BF02AC" w:rsidP="00BF02AC">
      <w:pPr>
        <w:spacing w:line="480" w:lineRule="auto"/>
        <w:ind w:firstLine="720"/>
        <w:jc w:val="center"/>
        <w:rPr>
          <w:rFonts w:ascii="Times New Roman" w:hAnsi="Times New Roman" w:cs="Times New Roman"/>
          <w:b/>
          <w:sz w:val="24"/>
          <w:szCs w:val="24"/>
        </w:rPr>
      </w:pPr>
      <w:r w:rsidRPr="00BF02AC">
        <w:rPr>
          <w:rFonts w:ascii="Times New Roman" w:hAnsi="Times New Roman" w:cs="Times New Roman"/>
          <w:b/>
          <w:sz w:val="24"/>
          <w:szCs w:val="24"/>
        </w:rPr>
        <w:t>Question Four</w:t>
      </w:r>
    </w:p>
    <w:p w:rsidR="00A24DFE" w:rsidRPr="00BF02AC" w:rsidRDefault="00BF02AC" w:rsidP="00BF02AC">
      <w:pPr>
        <w:spacing w:line="480" w:lineRule="auto"/>
        <w:ind w:firstLine="720"/>
        <w:rPr>
          <w:rFonts w:ascii="Times New Roman" w:hAnsi="Times New Roman" w:cs="Times New Roman"/>
          <w:sz w:val="24"/>
          <w:szCs w:val="24"/>
        </w:rPr>
      </w:pPr>
      <w:r w:rsidRPr="00BF02AC">
        <w:rPr>
          <w:rFonts w:ascii="Times New Roman" w:hAnsi="Times New Roman" w:cs="Times New Roman"/>
          <w:sz w:val="24"/>
          <w:szCs w:val="24"/>
        </w:rPr>
        <w:t>Notably, Calormi</w:t>
      </w:r>
      <w:r w:rsidR="00A24DFE" w:rsidRPr="00BF02AC">
        <w:rPr>
          <w:rFonts w:ascii="Times New Roman" w:hAnsi="Times New Roman" w:cs="Times New Roman"/>
          <w:sz w:val="24"/>
          <w:szCs w:val="24"/>
        </w:rPr>
        <w:t xml:space="preserve">ris argues in his editorials that as long as the firms lend and process payments services as </w:t>
      </w:r>
      <w:r w:rsidR="009D0CE9">
        <w:rPr>
          <w:rFonts w:ascii="Times New Roman" w:hAnsi="Times New Roman" w:cs="Times New Roman"/>
          <w:sz w:val="24"/>
          <w:szCs w:val="24"/>
        </w:rPr>
        <w:t xml:space="preserve">banks, depending on </w:t>
      </w:r>
      <w:r w:rsidR="00A24DFE" w:rsidRPr="00BF02AC">
        <w:rPr>
          <w:rFonts w:ascii="Times New Roman" w:hAnsi="Times New Roman" w:cs="Times New Roman"/>
          <w:sz w:val="24"/>
          <w:szCs w:val="24"/>
        </w:rPr>
        <w:t>the outcome of the case filed, only then can we conclude</w:t>
      </w:r>
      <w:r w:rsidR="009D0CE9">
        <w:rPr>
          <w:rFonts w:ascii="Times New Roman" w:hAnsi="Times New Roman" w:cs="Times New Roman"/>
          <w:sz w:val="24"/>
          <w:szCs w:val="24"/>
        </w:rPr>
        <w:t xml:space="preserve"> it is a bank or not</w:t>
      </w:r>
      <w:r w:rsidR="00A24DFE" w:rsidRPr="00BF02AC">
        <w:rPr>
          <w:rFonts w:ascii="Times New Roman" w:hAnsi="Times New Roman" w:cs="Times New Roman"/>
          <w:sz w:val="24"/>
          <w:szCs w:val="24"/>
        </w:rPr>
        <w:t>. Therefore, he argues that a company cannot be a bank unless it can accept deposits, even if the other services offered are centered on consumer loans, credit, or processing payment. It is wrong both legally and historically. Such claims will significantly undermine consumer protection and the safety of the financial system. The office of the currency's comptroller is independent, and it only serves as regulators and supervisors of the financial system. They strive to ensure fair access to financial services and are responsible for awarding charter</w:t>
      </w:r>
      <w:r w:rsidR="00FB2FED" w:rsidRPr="00BF02AC">
        <w:rPr>
          <w:rFonts w:ascii="Times New Roman" w:hAnsi="Times New Roman" w:cs="Times New Roman"/>
          <w:sz w:val="24"/>
          <w:szCs w:val="24"/>
        </w:rPr>
        <w:t>s based on financial activities (Clozel, 2018).</w:t>
      </w:r>
    </w:p>
    <w:p w:rsidR="00A24DFE" w:rsidRPr="00BF02AC" w:rsidRDefault="00BF02AC" w:rsidP="00BF02AC">
      <w:pPr>
        <w:spacing w:line="480" w:lineRule="auto"/>
        <w:ind w:firstLine="720"/>
        <w:rPr>
          <w:rFonts w:ascii="Times New Roman" w:hAnsi="Times New Roman" w:cs="Times New Roman"/>
          <w:sz w:val="24"/>
          <w:szCs w:val="24"/>
        </w:rPr>
      </w:pPr>
      <w:r w:rsidRPr="00BF02AC">
        <w:rPr>
          <w:rFonts w:ascii="Times New Roman" w:hAnsi="Times New Roman" w:cs="Times New Roman"/>
          <w:sz w:val="24"/>
          <w:szCs w:val="24"/>
        </w:rPr>
        <w:lastRenderedPageBreak/>
        <w:t>Calomi</w:t>
      </w:r>
      <w:r w:rsidR="00A24DFE" w:rsidRPr="00BF02AC">
        <w:rPr>
          <w:rFonts w:ascii="Times New Roman" w:hAnsi="Times New Roman" w:cs="Times New Roman"/>
          <w:sz w:val="24"/>
          <w:szCs w:val="24"/>
        </w:rPr>
        <w:t xml:space="preserve">ris argues that the comptroller's office's role continues to diminish due to the migration of banking activities to fintech firms. Banking activities of fintech companies act as shadow banks to the already failing national banks. There has been a notable decrease in consumer borrowing from National banks in recent years, which is associated with the rise of fintech financial services. They continue to account for a higher share in the market previously dominated by the national </w:t>
      </w:r>
      <w:r w:rsidR="00FB2FED" w:rsidRPr="00BF02AC">
        <w:rPr>
          <w:rFonts w:ascii="Times New Roman" w:hAnsi="Times New Roman" w:cs="Times New Roman"/>
          <w:sz w:val="24"/>
          <w:szCs w:val="24"/>
        </w:rPr>
        <w:t>banks (Brooks &amp;Calomiris, 2020).</w:t>
      </w:r>
      <w:r w:rsidR="002F0EE6" w:rsidRPr="00BF02AC">
        <w:rPr>
          <w:rFonts w:ascii="Times New Roman" w:hAnsi="Times New Roman" w:cs="Times New Roman"/>
          <w:sz w:val="24"/>
          <w:szCs w:val="24"/>
        </w:rPr>
        <w:t xml:space="preserve"> </w:t>
      </w:r>
      <w:r w:rsidR="00A24DFE" w:rsidRPr="00BF02AC">
        <w:rPr>
          <w:rFonts w:ascii="Times New Roman" w:hAnsi="Times New Roman" w:cs="Times New Roman"/>
          <w:sz w:val="24"/>
          <w:szCs w:val="24"/>
        </w:rPr>
        <w:t>The above trend can be associated with integrating technologies and the inevitable choice of consumers to adopt new technologies. The services that were historically offered by National banks will now continue to be provided by specialized fintech providers. Fintech is not centered on deposits. In his article, Calamaris argues that deposits cannot be the primary source for funding; instead, it is the services offered that define them, although they may change with time. It is possible to conclude that the national banks feel threatened by the chartering of this fintech by the comptroller's office as they pose stiff competition. They result from protesting against the move so that they are protected. Arguably fintechs should not be sued because they are offering stiff competition through their specialized financial services just the same way National banks have not been sued for failing to account for their double financial losses</w:t>
      </w:r>
      <w:r w:rsidR="00FB2FED" w:rsidRPr="00BF02AC">
        <w:rPr>
          <w:rFonts w:ascii="Times New Roman" w:hAnsi="Times New Roman" w:cs="Times New Roman"/>
          <w:sz w:val="24"/>
          <w:szCs w:val="24"/>
        </w:rPr>
        <w:t xml:space="preserve"> (Brooks &amp;Calomiris, 2020).</w:t>
      </w:r>
    </w:p>
    <w:p w:rsidR="00BF02AC" w:rsidRPr="00BF02AC" w:rsidRDefault="00BF02AC" w:rsidP="00BF02AC">
      <w:pPr>
        <w:spacing w:line="480" w:lineRule="auto"/>
        <w:ind w:firstLine="720"/>
        <w:jc w:val="center"/>
        <w:rPr>
          <w:rFonts w:ascii="Times New Roman" w:hAnsi="Times New Roman" w:cs="Times New Roman"/>
          <w:b/>
          <w:sz w:val="24"/>
          <w:szCs w:val="24"/>
        </w:rPr>
      </w:pPr>
      <w:r w:rsidRPr="00BF02AC">
        <w:rPr>
          <w:rFonts w:ascii="Times New Roman" w:hAnsi="Times New Roman" w:cs="Times New Roman"/>
          <w:b/>
          <w:sz w:val="24"/>
          <w:szCs w:val="24"/>
        </w:rPr>
        <w:t>Question Five</w:t>
      </w:r>
    </w:p>
    <w:p w:rsidR="002F0EE6" w:rsidRPr="00BF02AC" w:rsidRDefault="00A24DFE" w:rsidP="00BF02AC">
      <w:pPr>
        <w:spacing w:line="480" w:lineRule="auto"/>
        <w:ind w:firstLine="720"/>
        <w:rPr>
          <w:rFonts w:ascii="Times New Roman" w:hAnsi="Times New Roman" w:cs="Times New Roman"/>
          <w:sz w:val="24"/>
          <w:szCs w:val="24"/>
        </w:rPr>
      </w:pPr>
      <w:r w:rsidRPr="00BF02AC">
        <w:rPr>
          <w:rFonts w:ascii="Times New Roman" w:hAnsi="Times New Roman" w:cs="Times New Roman"/>
          <w:sz w:val="24"/>
          <w:szCs w:val="24"/>
        </w:rPr>
        <w:t>Fintech is equally important in the lending market. They are a good alternative because they are more specialized and have incorporated bank and capital market technologies in their financial activities. It is possible for customers seeking to borrow money and other financial services to access services that they are conveniently befitting them. Fintech incorporates financial technology while offering their services. It is possible to save time and, at the same ti</w:t>
      </w:r>
      <w:r w:rsidR="00FB2FED" w:rsidRPr="00BF02AC">
        <w:rPr>
          <w:rFonts w:ascii="Times New Roman" w:hAnsi="Times New Roman" w:cs="Times New Roman"/>
          <w:sz w:val="24"/>
          <w:szCs w:val="24"/>
        </w:rPr>
        <w:t>me, expand the services offered (Brooks &amp;Calomiris, 2020).</w:t>
      </w:r>
      <w:r w:rsidRPr="00BF02AC">
        <w:rPr>
          <w:rFonts w:ascii="Times New Roman" w:hAnsi="Times New Roman" w:cs="Times New Roman"/>
          <w:sz w:val="24"/>
          <w:szCs w:val="24"/>
        </w:rPr>
        <w:t xml:space="preserve"> Finally, COVID has impacted </w:t>
      </w:r>
      <w:r w:rsidRPr="00BF02AC">
        <w:rPr>
          <w:rFonts w:ascii="Times New Roman" w:hAnsi="Times New Roman" w:cs="Times New Roman"/>
          <w:sz w:val="24"/>
          <w:szCs w:val="24"/>
        </w:rPr>
        <w:lastRenderedPageBreak/>
        <w:t>almost everyone globally and continues to affect the economy. There has been an emphasis to minimize contact among persons to curb further spread of the virus. Cashless transactions are being encouraged, and I think this impacts fintech companies. With a decline in output, I think it is an opportunity for regulators to test whether fintech can survive a worst-case scenario and, at the same time, continue to offer their services. In conclusion, fintech continues to take the financial system by, and they will provide an important avenue where customers can choose the financial services they want.</w:t>
      </w:r>
    </w:p>
    <w:p w:rsidR="00BF02AC" w:rsidRPr="00BF02AC" w:rsidRDefault="00BF02AC" w:rsidP="00BF02AC">
      <w:pPr>
        <w:spacing w:line="480" w:lineRule="auto"/>
        <w:ind w:firstLine="720"/>
        <w:jc w:val="center"/>
        <w:rPr>
          <w:rFonts w:ascii="Times New Roman" w:hAnsi="Times New Roman" w:cs="Times New Roman"/>
          <w:b/>
          <w:sz w:val="24"/>
          <w:szCs w:val="24"/>
        </w:rPr>
      </w:pPr>
    </w:p>
    <w:p w:rsidR="00BF02AC" w:rsidRPr="00BF02AC" w:rsidRDefault="00BF02AC" w:rsidP="00BF02AC">
      <w:pPr>
        <w:spacing w:line="480" w:lineRule="auto"/>
        <w:ind w:firstLine="720"/>
        <w:jc w:val="center"/>
        <w:rPr>
          <w:rFonts w:ascii="Times New Roman" w:hAnsi="Times New Roman" w:cs="Times New Roman"/>
          <w:b/>
          <w:sz w:val="24"/>
          <w:szCs w:val="24"/>
        </w:rPr>
      </w:pPr>
    </w:p>
    <w:p w:rsidR="00BF02AC" w:rsidRPr="00BF02AC" w:rsidRDefault="00BF02AC" w:rsidP="00BF02AC">
      <w:pPr>
        <w:spacing w:line="480" w:lineRule="auto"/>
        <w:ind w:firstLine="720"/>
        <w:jc w:val="center"/>
        <w:rPr>
          <w:rFonts w:ascii="Times New Roman" w:hAnsi="Times New Roman" w:cs="Times New Roman"/>
          <w:b/>
          <w:sz w:val="24"/>
          <w:szCs w:val="24"/>
        </w:rPr>
      </w:pPr>
    </w:p>
    <w:p w:rsidR="00BF02AC" w:rsidRPr="00BF02AC" w:rsidRDefault="00BF02AC" w:rsidP="00BF02AC">
      <w:pPr>
        <w:spacing w:line="480" w:lineRule="auto"/>
        <w:ind w:firstLine="720"/>
        <w:jc w:val="center"/>
        <w:rPr>
          <w:rFonts w:ascii="Times New Roman" w:hAnsi="Times New Roman" w:cs="Times New Roman"/>
          <w:b/>
          <w:sz w:val="24"/>
          <w:szCs w:val="24"/>
        </w:rPr>
      </w:pPr>
    </w:p>
    <w:p w:rsidR="00BF02AC" w:rsidRPr="00BF02AC" w:rsidRDefault="00BF02AC" w:rsidP="00BF02AC">
      <w:pPr>
        <w:spacing w:line="480" w:lineRule="auto"/>
        <w:ind w:firstLine="720"/>
        <w:jc w:val="center"/>
        <w:rPr>
          <w:rFonts w:ascii="Times New Roman" w:hAnsi="Times New Roman" w:cs="Times New Roman"/>
          <w:b/>
          <w:sz w:val="24"/>
          <w:szCs w:val="24"/>
        </w:rPr>
      </w:pPr>
    </w:p>
    <w:p w:rsidR="00BF02AC" w:rsidRPr="00BF02AC" w:rsidRDefault="00BF02AC" w:rsidP="00BF02AC">
      <w:pPr>
        <w:spacing w:line="480" w:lineRule="auto"/>
        <w:ind w:firstLine="720"/>
        <w:jc w:val="center"/>
        <w:rPr>
          <w:rFonts w:ascii="Times New Roman" w:hAnsi="Times New Roman" w:cs="Times New Roman"/>
          <w:b/>
          <w:sz w:val="24"/>
          <w:szCs w:val="24"/>
        </w:rPr>
      </w:pPr>
    </w:p>
    <w:p w:rsidR="00BF02AC" w:rsidRPr="00BF02AC" w:rsidRDefault="00BF02AC" w:rsidP="00BF02AC">
      <w:pPr>
        <w:spacing w:line="480" w:lineRule="auto"/>
        <w:ind w:firstLine="720"/>
        <w:jc w:val="center"/>
        <w:rPr>
          <w:rFonts w:ascii="Times New Roman" w:hAnsi="Times New Roman" w:cs="Times New Roman"/>
          <w:b/>
          <w:sz w:val="24"/>
          <w:szCs w:val="24"/>
        </w:rPr>
      </w:pPr>
    </w:p>
    <w:p w:rsidR="00BF02AC" w:rsidRPr="00BF02AC" w:rsidRDefault="00BF02AC" w:rsidP="00BF02AC">
      <w:pPr>
        <w:spacing w:line="480" w:lineRule="auto"/>
        <w:ind w:firstLine="720"/>
        <w:jc w:val="center"/>
        <w:rPr>
          <w:rFonts w:ascii="Times New Roman" w:hAnsi="Times New Roman" w:cs="Times New Roman"/>
          <w:b/>
          <w:sz w:val="24"/>
          <w:szCs w:val="24"/>
        </w:rPr>
      </w:pPr>
    </w:p>
    <w:p w:rsidR="00BF02AC" w:rsidRPr="00BF02AC" w:rsidRDefault="00BF02AC" w:rsidP="00BF02AC">
      <w:pPr>
        <w:spacing w:line="480" w:lineRule="auto"/>
        <w:ind w:firstLine="720"/>
        <w:jc w:val="center"/>
        <w:rPr>
          <w:rFonts w:ascii="Times New Roman" w:hAnsi="Times New Roman" w:cs="Times New Roman"/>
          <w:b/>
          <w:sz w:val="24"/>
          <w:szCs w:val="24"/>
        </w:rPr>
      </w:pPr>
    </w:p>
    <w:p w:rsidR="00BF02AC" w:rsidRPr="00BF02AC" w:rsidRDefault="00BF02AC" w:rsidP="00BF02AC">
      <w:pPr>
        <w:spacing w:line="480" w:lineRule="auto"/>
        <w:ind w:firstLine="720"/>
        <w:jc w:val="center"/>
        <w:rPr>
          <w:rFonts w:ascii="Times New Roman" w:hAnsi="Times New Roman" w:cs="Times New Roman"/>
          <w:b/>
          <w:sz w:val="24"/>
          <w:szCs w:val="24"/>
        </w:rPr>
      </w:pPr>
    </w:p>
    <w:p w:rsidR="00BF02AC" w:rsidRPr="00BF02AC" w:rsidRDefault="00BF02AC" w:rsidP="00BF02AC">
      <w:pPr>
        <w:spacing w:line="480" w:lineRule="auto"/>
        <w:ind w:firstLine="720"/>
        <w:jc w:val="center"/>
        <w:rPr>
          <w:rFonts w:ascii="Times New Roman" w:hAnsi="Times New Roman" w:cs="Times New Roman"/>
          <w:b/>
          <w:sz w:val="24"/>
          <w:szCs w:val="24"/>
        </w:rPr>
      </w:pPr>
    </w:p>
    <w:p w:rsidR="00BF02AC" w:rsidRPr="00BF02AC" w:rsidRDefault="00BF02AC" w:rsidP="00BF02AC">
      <w:pPr>
        <w:spacing w:line="480" w:lineRule="auto"/>
        <w:ind w:firstLine="720"/>
        <w:jc w:val="center"/>
        <w:rPr>
          <w:rFonts w:ascii="Times New Roman" w:hAnsi="Times New Roman" w:cs="Times New Roman"/>
          <w:b/>
          <w:sz w:val="24"/>
          <w:szCs w:val="24"/>
        </w:rPr>
      </w:pPr>
    </w:p>
    <w:p w:rsidR="00BF02AC" w:rsidRPr="00BF02AC" w:rsidRDefault="00BF02AC" w:rsidP="00BF02AC">
      <w:pPr>
        <w:spacing w:line="480" w:lineRule="auto"/>
        <w:ind w:firstLine="720"/>
        <w:jc w:val="center"/>
        <w:rPr>
          <w:rFonts w:ascii="Times New Roman" w:hAnsi="Times New Roman" w:cs="Times New Roman"/>
          <w:b/>
          <w:sz w:val="24"/>
          <w:szCs w:val="24"/>
        </w:rPr>
      </w:pPr>
    </w:p>
    <w:p w:rsidR="00A23EF7" w:rsidRPr="00BF02AC" w:rsidRDefault="00A23EF7" w:rsidP="00BF02AC">
      <w:pPr>
        <w:spacing w:line="480" w:lineRule="auto"/>
        <w:ind w:firstLine="720"/>
        <w:jc w:val="center"/>
        <w:rPr>
          <w:rFonts w:ascii="Times New Roman" w:hAnsi="Times New Roman" w:cs="Times New Roman"/>
          <w:sz w:val="24"/>
          <w:szCs w:val="24"/>
        </w:rPr>
      </w:pPr>
      <w:r w:rsidRPr="00BF02AC">
        <w:rPr>
          <w:rFonts w:ascii="Times New Roman" w:hAnsi="Times New Roman" w:cs="Times New Roman"/>
          <w:b/>
          <w:sz w:val="24"/>
          <w:szCs w:val="24"/>
        </w:rPr>
        <w:lastRenderedPageBreak/>
        <w:t>References</w:t>
      </w:r>
    </w:p>
    <w:p w:rsidR="002F0EE6" w:rsidRPr="00BF02AC" w:rsidRDefault="002F0EE6" w:rsidP="00BF02AC">
      <w:pPr>
        <w:spacing w:line="480" w:lineRule="auto"/>
        <w:ind w:left="720" w:hanging="720"/>
        <w:rPr>
          <w:rFonts w:ascii="Times New Roman" w:hAnsi="Times New Roman" w:cs="Times New Roman"/>
          <w:sz w:val="24"/>
          <w:szCs w:val="24"/>
        </w:rPr>
      </w:pPr>
      <w:r w:rsidRPr="00BF02AC">
        <w:rPr>
          <w:rFonts w:ascii="Times New Roman" w:hAnsi="Times New Roman" w:cs="Times New Roman"/>
          <w:sz w:val="24"/>
          <w:szCs w:val="24"/>
        </w:rPr>
        <w:t xml:space="preserve">Brooks, B.P, &amp;Calomiris, W.C. (2020). Fintech Can Come Out of the shadows. </w:t>
      </w:r>
      <w:r w:rsidR="009D0CE9" w:rsidRPr="007B17CD">
        <w:rPr>
          <w:rFonts w:ascii="Times New Roman" w:hAnsi="Times New Roman" w:cs="Times New Roman"/>
          <w:i/>
          <w:sz w:val="24"/>
          <w:szCs w:val="24"/>
        </w:rPr>
        <w:t>THE</w:t>
      </w:r>
      <w:r w:rsidR="009D0CE9">
        <w:rPr>
          <w:rFonts w:ascii="Times New Roman" w:hAnsi="Times New Roman" w:cs="Times New Roman"/>
          <w:sz w:val="24"/>
          <w:szCs w:val="24"/>
        </w:rPr>
        <w:t xml:space="preserve"> </w:t>
      </w:r>
      <w:r w:rsidRPr="00BF02AC">
        <w:rPr>
          <w:rFonts w:ascii="Times New Roman" w:hAnsi="Times New Roman" w:cs="Times New Roman"/>
          <w:i/>
          <w:sz w:val="24"/>
          <w:szCs w:val="24"/>
        </w:rPr>
        <w:t>WALL STREET JOURNAL</w:t>
      </w:r>
      <w:r w:rsidRPr="00BF02AC">
        <w:rPr>
          <w:rFonts w:ascii="Times New Roman" w:hAnsi="Times New Roman" w:cs="Times New Roman"/>
          <w:sz w:val="24"/>
          <w:szCs w:val="24"/>
        </w:rPr>
        <w:t xml:space="preserve">. Retrieved from: </w:t>
      </w:r>
      <w:hyperlink r:id="rId7" w:history="1">
        <w:r w:rsidRPr="00BF02AC">
          <w:rPr>
            <w:rStyle w:val="Hyperlink"/>
            <w:rFonts w:ascii="Times New Roman" w:hAnsi="Times New Roman" w:cs="Times New Roman"/>
            <w:sz w:val="24"/>
            <w:szCs w:val="24"/>
          </w:rPr>
          <w:t>https://www.wsj.com/articles/fintech-can-come-out-of-the-shadows-11599693184</w:t>
        </w:r>
      </w:hyperlink>
      <w:r w:rsidRPr="00BF02AC">
        <w:rPr>
          <w:rFonts w:ascii="Times New Roman" w:hAnsi="Times New Roman" w:cs="Times New Roman"/>
          <w:sz w:val="24"/>
          <w:szCs w:val="24"/>
        </w:rPr>
        <w:t xml:space="preserve"> </w:t>
      </w:r>
    </w:p>
    <w:p w:rsidR="002F0EE6" w:rsidRPr="00BF02AC" w:rsidRDefault="002F0EE6" w:rsidP="00BF02AC">
      <w:pPr>
        <w:spacing w:line="480" w:lineRule="auto"/>
        <w:ind w:left="720" w:hanging="720"/>
        <w:rPr>
          <w:rFonts w:ascii="Times New Roman" w:hAnsi="Times New Roman" w:cs="Times New Roman"/>
          <w:sz w:val="24"/>
          <w:szCs w:val="24"/>
        </w:rPr>
      </w:pPr>
      <w:r w:rsidRPr="00BF02AC">
        <w:rPr>
          <w:rFonts w:ascii="Times New Roman" w:hAnsi="Times New Roman" w:cs="Times New Roman"/>
          <w:sz w:val="24"/>
          <w:szCs w:val="24"/>
        </w:rPr>
        <w:t>Clozel, L. (2018). ‘Fintech C</w:t>
      </w:r>
      <w:bookmarkStart w:id="0" w:name="_GoBack"/>
      <w:bookmarkEnd w:id="0"/>
      <w:r w:rsidRPr="00BF02AC">
        <w:rPr>
          <w:rFonts w:ascii="Times New Roman" w:hAnsi="Times New Roman" w:cs="Times New Roman"/>
          <w:sz w:val="24"/>
          <w:szCs w:val="24"/>
        </w:rPr>
        <w:t xml:space="preserve">harter’ Has No Early Takers as Lawsuit Looms. </w:t>
      </w:r>
      <w:r w:rsidRPr="00BF02AC">
        <w:rPr>
          <w:rFonts w:ascii="Times New Roman" w:hAnsi="Times New Roman" w:cs="Times New Roman"/>
          <w:i/>
          <w:sz w:val="24"/>
          <w:szCs w:val="24"/>
        </w:rPr>
        <w:t>THE WALL STREET JOURNAL</w:t>
      </w:r>
      <w:r w:rsidRPr="00BF02AC">
        <w:rPr>
          <w:rFonts w:ascii="Times New Roman" w:hAnsi="Times New Roman" w:cs="Times New Roman"/>
          <w:sz w:val="24"/>
          <w:szCs w:val="24"/>
        </w:rPr>
        <w:t xml:space="preserve">. Retrieved from: </w:t>
      </w:r>
      <w:hyperlink r:id="rId8" w:history="1">
        <w:r w:rsidRPr="00BF02AC">
          <w:rPr>
            <w:rStyle w:val="Hyperlink"/>
            <w:rFonts w:ascii="Times New Roman" w:hAnsi="Times New Roman" w:cs="Times New Roman"/>
            <w:sz w:val="24"/>
            <w:szCs w:val="24"/>
          </w:rPr>
          <w:t>https://www.wsj.com/articles/fintech-charter-has-no-early-takers-as-lawsuit-looms-1536764426</w:t>
        </w:r>
      </w:hyperlink>
      <w:r w:rsidRPr="00BF02AC">
        <w:rPr>
          <w:rFonts w:ascii="Times New Roman" w:hAnsi="Times New Roman" w:cs="Times New Roman"/>
          <w:sz w:val="24"/>
          <w:szCs w:val="24"/>
        </w:rPr>
        <w:t xml:space="preserve"> </w:t>
      </w:r>
    </w:p>
    <w:p w:rsidR="002F0EE6" w:rsidRPr="00BF02AC" w:rsidRDefault="002F0EE6" w:rsidP="00BF02AC">
      <w:pPr>
        <w:spacing w:line="480" w:lineRule="auto"/>
        <w:ind w:left="720" w:hanging="720"/>
        <w:rPr>
          <w:rFonts w:ascii="Times New Roman" w:hAnsi="Times New Roman" w:cs="Times New Roman"/>
          <w:sz w:val="24"/>
          <w:szCs w:val="24"/>
        </w:rPr>
      </w:pPr>
      <w:r w:rsidRPr="00BF02AC">
        <w:rPr>
          <w:rFonts w:ascii="Times New Roman" w:hAnsi="Times New Roman" w:cs="Times New Roman"/>
          <w:sz w:val="24"/>
          <w:szCs w:val="24"/>
        </w:rPr>
        <w:t xml:space="preserve">McCaffrey, O. (2020).Fintech Varo Money Gets Rare Green Light to Become Bank. </w:t>
      </w:r>
      <w:r w:rsidRPr="00BF02AC">
        <w:rPr>
          <w:rFonts w:ascii="Times New Roman" w:hAnsi="Times New Roman" w:cs="Times New Roman"/>
          <w:i/>
          <w:sz w:val="24"/>
          <w:szCs w:val="24"/>
        </w:rPr>
        <w:t>THE WALL STREET JOURNAL.</w:t>
      </w:r>
      <w:r w:rsidRPr="00BF02AC">
        <w:rPr>
          <w:rFonts w:ascii="Times New Roman" w:hAnsi="Times New Roman" w:cs="Times New Roman"/>
          <w:sz w:val="24"/>
          <w:szCs w:val="24"/>
        </w:rPr>
        <w:t xml:space="preserve"> Retrieved from: </w:t>
      </w:r>
      <w:hyperlink r:id="rId9" w:history="1">
        <w:r w:rsidRPr="00BF02AC">
          <w:rPr>
            <w:rStyle w:val="Hyperlink"/>
            <w:rFonts w:ascii="Times New Roman" w:hAnsi="Times New Roman" w:cs="Times New Roman"/>
            <w:sz w:val="24"/>
            <w:szCs w:val="24"/>
          </w:rPr>
          <w:t>https://www.wsj.com/articles/fintech-varo-money-gets-green-light-to-become-bank-11596207033</w:t>
        </w:r>
      </w:hyperlink>
      <w:r w:rsidRPr="00BF02AC">
        <w:rPr>
          <w:rFonts w:ascii="Times New Roman" w:hAnsi="Times New Roman" w:cs="Times New Roman"/>
          <w:sz w:val="24"/>
          <w:szCs w:val="24"/>
        </w:rPr>
        <w:t xml:space="preserve"> </w:t>
      </w:r>
    </w:p>
    <w:sectPr w:rsidR="002F0EE6" w:rsidRPr="00BF02AC" w:rsidSect="002F0EE6">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5FCB" w:rsidRDefault="000A5FCB" w:rsidP="002F0EE6">
      <w:pPr>
        <w:spacing w:after="0" w:line="240" w:lineRule="auto"/>
      </w:pPr>
      <w:r>
        <w:separator/>
      </w:r>
    </w:p>
  </w:endnote>
  <w:endnote w:type="continuationSeparator" w:id="0">
    <w:p w:rsidR="000A5FCB" w:rsidRDefault="000A5FCB" w:rsidP="002F0E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5FCB" w:rsidRDefault="000A5FCB" w:rsidP="002F0EE6">
      <w:pPr>
        <w:spacing w:after="0" w:line="240" w:lineRule="auto"/>
      </w:pPr>
      <w:r>
        <w:separator/>
      </w:r>
    </w:p>
  </w:footnote>
  <w:footnote w:type="continuationSeparator" w:id="0">
    <w:p w:rsidR="000A5FCB" w:rsidRDefault="000A5FCB" w:rsidP="002F0E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EE6" w:rsidRPr="002F0EE6" w:rsidRDefault="002F0EE6">
    <w:pPr>
      <w:pStyle w:val="Header"/>
      <w:rPr>
        <w:rFonts w:ascii="Times New Roman" w:hAnsi="Times New Roman" w:cs="Times New Roman"/>
        <w:sz w:val="24"/>
        <w:szCs w:val="24"/>
      </w:rPr>
    </w:pPr>
    <w:r>
      <w:tab/>
    </w:r>
    <w:r>
      <w:tab/>
    </w:r>
    <w:r w:rsidR="003B3755" w:rsidRPr="002F0EE6">
      <w:rPr>
        <w:rFonts w:ascii="Times New Roman" w:hAnsi="Times New Roman" w:cs="Times New Roman"/>
        <w:sz w:val="24"/>
        <w:szCs w:val="24"/>
      </w:rPr>
      <w:fldChar w:fldCharType="begin"/>
    </w:r>
    <w:r w:rsidRPr="002F0EE6">
      <w:rPr>
        <w:rFonts w:ascii="Times New Roman" w:hAnsi="Times New Roman" w:cs="Times New Roman"/>
        <w:sz w:val="24"/>
        <w:szCs w:val="24"/>
      </w:rPr>
      <w:instrText xml:space="preserve"> PAGE   \* MERGEFORMAT </w:instrText>
    </w:r>
    <w:r w:rsidR="003B3755" w:rsidRPr="002F0EE6">
      <w:rPr>
        <w:rFonts w:ascii="Times New Roman" w:hAnsi="Times New Roman" w:cs="Times New Roman"/>
        <w:sz w:val="24"/>
        <w:szCs w:val="24"/>
      </w:rPr>
      <w:fldChar w:fldCharType="separate"/>
    </w:r>
    <w:r w:rsidR="007E3C32">
      <w:rPr>
        <w:rFonts w:ascii="Times New Roman" w:hAnsi="Times New Roman" w:cs="Times New Roman"/>
        <w:noProof/>
        <w:sz w:val="24"/>
        <w:szCs w:val="24"/>
      </w:rPr>
      <w:t>1</w:t>
    </w:r>
    <w:r w:rsidR="003B3755" w:rsidRPr="002F0EE6">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EE6" w:rsidRDefault="002F0EE6">
    <w:pPr>
      <w:pStyle w:val="Header"/>
    </w:pP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DB66CA"/>
    <w:rsid w:val="00097CB4"/>
    <w:rsid w:val="000A5FCB"/>
    <w:rsid w:val="001C7A29"/>
    <w:rsid w:val="002562E3"/>
    <w:rsid w:val="00265433"/>
    <w:rsid w:val="00292141"/>
    <w:rsid w:val="002C5AAF"/>
    <w:rsid w:val="002C626B"/>
    <w:rsid w:val="002F0EE6"/>
    <w:rsid w:val="00325D86"/>
    <w:rsid w:val="003B3755"/>
    <w:rsid w:val="00412E33"/>
    <w:rsid w:val="004C090F"/>
    <w:rsid w:val="00556FD4"/>
    <w:rsid w:val="006212D2"/>
    <w:rsid w:val="00650BC5"/>
    <w:rsid w:val="00670ADF"/>
    <w:rsid w:val="006B4DC6"/>
    <w:rsid w:val="0071211B"/>
    <w:rsid w:val="007B17CD"/>
    <w:rsid w:val="007E3C32"/>
    <w:rsid w:val="008862B8"/>
    <w:rsid w:val="008A11F0"/>
    <w:rsid w:val="008A34DB"/>
    <w:rsid w:val="008D6DF5"/>
    <w:rsid w:val="008F1A76"/>
    <w:rsid w:val="009A550F"/>
    <w:rsid w:val="009D0CE9"/>
    <w:rsid w:val="009D1139"/>
    <w:rsid w:val="009D3E72"/>
    <w:rsid w:val="00A23EF7"/>
    <w:rsid w:val="00A24DFE"/>
    <w:rsid w:val="00AE226B"/>
    <w:rsid w:val="00AE7550"/>
    <w:rsid w:val="00BF02AC"/>
    <w:rsid w:val="00BF7ACC"/>
    <w:rsid w:val="00C06B4A"/>
    <w:rsid w:val="00CE34F0"/>
    <w:rsid w:val="00DB66CA"/>
    <w:rsid w:val="00F7595F"/>
    <w:rsid w:val="00FB2F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E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595F"/>
    <w:rPr>
      <w:color w:val="0563C1" w:themeColor="hyperlink"/>
      <w:u w:val="single"/>
    </w:rPr>
  </w:style>
  <w:style w:type="paragraph" w:styleId="Header">
    <w:name w:val="header"/>
    <w:basedOn w:val="Normal"/>
    <w:link w:val="HeaderChar"/>
    <w:uiPriority w:val="99"/>
    <w:unhideWhenUsed/>
    <w:rsid w:val="002F0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EE6"/>
  </w:style>
  <w:style w:type="paragraph" w:styleId="Footer">
    <w:name w:val="footer"/>
    <w:basedOn w:val="Normal"/>
    <w:link w:val="FooterChar"/>
    <w:uiPriority w:val="99"/>
    <w:unhideWhenUsed/>
    <w:rsid w:val="002F0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EE6"/>
  </w:style>
  <w:style w:type="paragraph" w:styleId="NormalWeb">
    <w:name w:val="Normal (Web)"/>
    <w:basedOn w:val="Normal"/>
    <w:uiPriority w:val="99"/>
    <w:semiHidden/>
    <w:unhideWhenUsed/>
    <w:rsid w:val="002F0E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0EE6"/>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sj.com/articles/fintech-charter-has-no-early-takers-as-lawsuit-looms-153676442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sj.com/articles/fintech-can-come-out-of-the-shadows-1159969318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sj.com/articles/fintech-varo-money-gets-green-light-to-become-bank-115962070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D5056-6374-4556-A85A-33B054BFA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2020-09-22T05:08:00Z</dcterms:created>
  <dcterms:modified xsi:type="dcterms:W3CDTF">2020-09-22T05:08:00Z</dcterms:modified>
</cp:coreProperties>
</file>